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91697" w:rsidRDefault="003154A2" w:rsidP="00991697">
      <w:pPr>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984F72" w:rsidRPr="00984F72">
        <w:rPr>
          <w:rFonts w:ascii="Arial" w:hAnsi="Arial" w:cs="Arial"/>
          <w:b/>
          <w:sz w:val="22"/>
          <w:szCs w:val="22"/>
          <w:u w:val="single"/>
        </w:rPr>
        <w:t>23WG</w:t>
      </w:r>
    </w:p>
    <w:p w:rsidR="003154A2" w:rsidRPr="00517824" w:rsidRDefault="003154A2" w:rsidP="003154A2">
      <w:pPr>
        <w:spacing w:before="100"/>
        <w:ind w:left="426"/>
        <w:jc w:val="center"/>
        <w:rPr>
          <w:rFonts w:ascii="Arial" w:hAnsi="Arial" w:cs="Arial"/>
          <w:b/>
          <w:sz w:val="22"/>
          <w:szCs w:val="22"/>
        </w:rPr>
      </w:pPr>
    </w:p>
    <w:p w:rsidR="003154A2" w:rsidRPr="000E0BF4" w:rsidRDefault="00984F72" w:rsidP="003154A2">
      <w:pPr>
        <w:spacing w:before="100"/>
        <w:ind w:left="426"/>
        <w:jc w:val="center"/>
        <w:rPr>
          <w:rFonts w:ascii="Arial" w:hAnsi="Arial" w:cs="Arial"/>
          <w:b/>
          <w:sz w:val="22"/>
          <w:szCs w:val="22"/>
          <w:u w:val="single"/>
        </w:rPr>
      </w:pPr>
      <w:r w:rsidRPr="00BD2EE2">
        <w:rPr>
          <w:rFonts w:ascii="Arial" w:hAnsi="Arial" w:cs="Arial"/>
          <w:b/>
          <w:sz w:val="22"/>
          <w:szCs w:val="22"/>
          <w:u w:val="single"/>
        </w:rPr>
        <w:t>C23</w:t>
      </w:r>
      <w:r w:rsidR="00975EB5" w:rsidRPr="00BD2EE2">
        <w:rPr>
          <w:rFonts w:ascii="Arial" w:hAnsi="Arial" w:cs="Arial"/>
          <w:b/>
          <w:sz w:val="22"/>
          <w:szCs w:val="22"/>
          <w:u w:val="single"/>
        </w:rPr>
        <w:t xml:space="preserve"> </w:t>
      </w:r>
      <w:r w:rsidRPr="00BD2EE2">
        <w:rPr>
          <w:rFonts w:ascii="Arial" w:hAnsi="Arial" w:cs="Arial"/>
          <w:b/>
          <w:sz w:val="22"/>
          <w:szCs w:val="22"/>
          <w:u w:val="single"/>
        </w:rPr>
        <w:t>I7</w:t>
      </w:r>
      <w:r w:rsidR="00975EB5" w:rsidRPr="000E0BF4">
        <w:rPr>
          <w:rFonts w:ascii="Arial" w:hAnsi="Arial" w:cs="Arial"/>
          <w:b/>
          <w:sz w:val="22"/>
          <w:szCs w:val="22"/>
          <w:u w:val="single"/>
        </w:rPr>
        <w:t xml:space="preserve"> </w:t>
      </w:r>
      <w:r w:rsidR="00975EB5" w:rsidRPr="00BD2EE2">
        <w:rPr>
          <w:rFonts w:ascii="Arial" w:hAnsi="Arial" w:cs="Arial"/>
          <w:b/>
          <w:sz w:val="22"/>
          <w:szCs w:val="22"/>
          <w:u w:val="single"/>
        </w:rPr>
        <w:t>FOMENTO</w:t>
      </w:r>
      <w:r w:rsidR="00975EB5" w:rsidRPr="00975EB5">
        <w:rPr>
          <w:rFonts w:ascii="Arial" w:hAnsi="Arial" w:cs="Arial"/>
          <w:b/>
          <w:sz w:val="22"/>
          <w:szCs w:val="22"/>
          <w:u w:val="single"/>
        </w:rPr>
        <w:t xml:space="preserve"> DEL CRECIMIENTO INCLUSIVO MEDIANTE LA VINCULACIÓN DE LAS POLÍTICAS DE INCLUSIÓN SOCIAL AL INGRESO MÍNIMO VITAL</w:t>
      </w:r>
    </w:p>
    <w:p w:rsidR="003154A2" w:rsidRPr="00975EB5" w:rsidRDefault="003154A2" w:rsidP="00517824">
      <w:pPr>
        <w:spacing w:before="100"/>
        <w:ind w:left="426"/>
        <w:rPr>
          <w:rFonts w:ascii="Arial" w:hAnsi="Arial" w:cs="Arial"/>
          <w:b/>
          <w:sz w:val="22"/>
          <w:szCs w:val="22"/>
        </w:rPr>
      </w:pPr>
    </w:p>
    <w:p w:rsidR="00975EB5" w:rsidRDefault="00975EB5" w:rsidP="00517824">
      <w:pPr>
        <w:spacing w:before="100"/>
        <w:ind w:left="426"/>
        <w:rPr>
          <w:rFonts w:ascii="Arial" w:hAnsi="Arial" w:cs="Arial"/>
          <w:b/>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1. </w:t>
      </w:r>
      <w:r w:rsidR="00975EB5" w:rsidRPr="00517824">
        <w:rPr>
          <w:rFonts w:ascii="Arial" w:hAnsi="Arial" w:cs="Arial"/>
          <w:b/>
          <w:sz w:val="22"/>
          <w:szCs w:val="22"/>
        </w:rPr>
        <w:t xml:space="preserve">DENOMINACIÓN DEL COMPONENTE </w:t>
      </w:r>
    </w:p>
    <w:p w:rsidR="00517824" w:rsidRDefault="00984F72" w:rsidP="000E0BF4">
      <w:pPr>
        <w:spacing w:before="120" w:after="120" w:line="360" w:lineRule="exact"/>
        <w:ind w:firstLine="708"/>
        <w:rPr>
          <w:rFonts w:ascii="Arial" w:hAnsi="Arial" w:cs="Arial"/>
          <w:sz w:val="22"/>
          <w:szCs w:val="22"/>
        </w:rPr>
      </w:pPr>
      <w:r w:rsidRPr="00984F72">
        <w:rPr>
          <w:rFonts w:ascii="Arial" w:hAnsi="Arial" w:cs="Arial"/>
          <w:sz w:val="22"/>
          <w:szCs w:val="22"/>
        </w:rPr>
        <w:t xml:space="preserve">Nuevas políticas públicas para un mercado de trabajo dinámico, </w:t>
      </w:r>
      <w:proofErr w:type="spellStart"/>
      <w:r w:rsidRPr="00984F72">
        <w:rPr>
          <w:rFonts w:ascii="Arial" w:hAnsi="Arial" w:cs="Arial"/>
          <w:sz w:val="22"/>
          <w:szCs w:val="22"/>
        </w:rPr>
        <w:t>resiliente</w:t>
      </w:r>
      <w:proofErr w:type="spellEnd"/>
      <w:r w:rsidRPr="00984F72">
        <w:rPr>
          <w:rFonts w:ascii="Arial" w:hAnsi="Arial" w:cs="Arial"/>
          <w:sz w:val="22"/>
          <w:szCs w:val="22"/>
        </w:rPr>
        <w:t xml:space="preserve"> e inclusivo</w:t>
      </w:r>
      <w:r w:rsidR="00ED3A1E">
        <w:rPr>
          <w:rFonts w:ascii="Arial" w:hAnsi="Arial" w:cs="Arial"/>
          <w:sz w:val="22"/>
          <w:szCs w:val="22"/>
        </w:rPr>
        <w:t>.</w:t>
      </w:r>
    </w:p>
    <w:p w:rsidR="00984F72" w:rsidRPr="00517824" w:rsidRDefault="00984F72" w:rsidP="008B3CA0">
      <w:pPr>
        <w:spacing w:before="100"/>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2.</w:t>
      </w:r>
      <w:r w:rsidR="00B94ED1" w:rsidRPr="00517824">
        <w:rPr>
          <w:rFonts w:ascii="Arial" w:hAnsi="Arial" w:cs="Arial"/>
          <w:b/>
          <w:sz w:val="22"/>
          <w:szCs w:val="22"/>
        </w:rPr>
        <w:t xml:space="preserve"> DESCRIPCIÓN GENERAL DEL COMPONENTE</w:t>
      </w:r>
    </w:p>
    <w:p w:rsidR="00984F72" w:rsidRPr="00984F72" w:rsidRDefault="00984F72" w:rsidP="000E0BF4">
      <w:pPr>
        <w:spacing w:before="120" w:after="120" w:line="360" w:lineRule="exact"/>
        <w:ind w:firstLine="708"/>
        <w:jc w:val="both"/>
        <w:rPr>
          <w:rFonts w:ascii="Arial" w:hAnsi="Arial" w:cs="Arial"/>
          <w:sz w:val="22"/>
          <w:szCs w:val="22"/>
        </w:rPr>
      </w:pPr>
      <w:r w:rsidRPr="00984F72">
        <w:rPr>
          <w:rFonts w:ascii="Arial" w:hAnsi="Arial" w:cs="Arial"/>
          <w:sz w:val="22"/>
          <w:szCs w:val="22"/>
        </w:rPr>
        <w:t>El mercado laboral español arrastra desde hace décadas importantes desequilibrios que agravan los ciclos económicos, lastran los aumentos de productividad, aumentan la precariedad y profundizan las brechas sociales, territoriales y de género.</w:t>
      </w:r>
    </w:p>
    <w:p w:rsidR="00991697" w:rsidRDefault="00984F72" w:rsidP="000E0BF4">
      <w:pPr>
        <w:spacing w:before="120" w:after="120" w:line="360" w:lineRule="exact"/>
        <w:ind w:firstLine="708"/>
        <w:jc w:val="both"/>
        <w:rPr>
          <w:rFonts w:ascii="Arial" w:hAnsi="Arial" w:cs="Arial"/>
          <w:sz w:val="22"/>
          <w:szCs w:val="22"/>
        </w:rPr>
      </w:pPr>
      <w:r w:rsidRPr="00984F72">
        <w:rPr>
          <w:rFonts w:ascii="Arial" w:hAnsi="Arial" w:cs="Arial"/>
          <w:sz w:val="22"/>
          <w:szCs w:val="22"/>
        </w:rPr>
        <w:t>Con el fin de promover un crecimiento inclusivo y sostenible desde el punto de vista económico y social y garantizar la seguridad jurídica, es preciso abordar a través del diálogo social un paquete equilibrado y coherente de reformas que permitan reducir el desempleo estructural y el paro juvenil, reducir la temporalidad y corregir la dualidad del mercado laboral, aumentar la inversión en capital humano, modernizar los instrumentos de negociación colectiva y aumentar la eficacia y eficiencia de las políticas públicas de empleo.</w:t>
      </w:r>
    </w:p>
    <w:p w:rsidR="00984F72" w:rsidRPr="00517824" w:rsidRDefault="00984F72" w:rsidP="00984F72">
      <w:pPr>
        <w:spacing w:before="120" w:after="120" w:line="360" w:lineRule="exact"/>
        <w:jc w:val="both"/>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3. </w:t>
      </w:r>
      <w:r w:rsidR="00975EB5" w:rsidRPr="00517824">
        <w:rPr>
          <w:rFonts w:ascii="Arial" w:hAnsi="Arial" w:cs="Arial"/>
          <w:b/>
          <w:sz w:val="22"/>
          <w:szCs w:val="22"/>
        </w:rPr>
        <w:t>PRINCIPALES OBJETIVOS DEL COMPONENTE</w:t>
      </w:r>
    </w:p>
    <w:p w:rsidR="00517824" w:rsidRPr="00517824" w:rsidRDefault="00984F72" w:rsidP="000E0BF4">
      <w:pPr>
        <w:spacing w:before="120" w:after="120" w:line="360" w:lineRule="exact"/>
        <w:ind w:firstLine="708"/>
        <w:jc w:val="both"/>
        <w:rPr>
          <w:rFonts w:ascii="Arial" w:hAnsi="Arial" w:cs="Arial"/>
          <w:sz w:val="22"/>
          <w:szCs w:val="22"/>
        </w:rPr>
      </w:pPr>
      <w:r w:rsidRPr="00984F72">
        <w:rPr>
          <w:rFonts w:ascii="Arial" w:hAnsi="Arial" w:cs="Arial"/>
          <w:sz w:val="22"/>
          <w:szCs w:val="22"/>
        </w:rPr>
        <w:t>El componente 23 (‘Nuevas políticas públicas para un mercado de trabajo dinámico, resiliente e inclusivo’) con el fin de promover un crecimiento inclusivo y sostenible desde el punto de vista económico y social y garantizar la seguridad jurídica, busca así modernizar y abordar los distintos problemas que arrastra el mercado laboral español, con un conjunto coherente de reformas, la mayoría de las cuales deben ser abordadas en el marco del diálogo social, orientadas a reducir el desempleo estructural y el paro juvenil, corregir la dualidad, mejorar el capital humano, modernizar la negociación colectiva y aumentar la eficiencia de las políticas públicas de empleo.</w:t>
      </w:r>
    </w:p>
    <w:p w:rsidR="00517824" w:rsidRPr="00517824" w:rsidRDefault="00517824" w:rsidP="008B3CA0">
      <w:pPr>
        <w:spacing w:before="100"/>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4. </w:t>
      </w:r>
      <w:r w:rsidR="00975EB5" w:rsidRPr="00517824">
        <w:rPr>
          <w:rFonts w:ascii="Arial" w:hAnsi="Arial" w:cs="Arial"/>
          <w:b/>
          <w:sz w:val="22"/>
          <w:szCs w:val="22"/>
        </w:rPr>
        <w:t>DESCRIPCIÓN DE LA INVERSIÓN</w:t>
      </w:r>
    </w:p>
    <w:p w:rsidR="00984F72" w:rsidRPr="00984F72" w:rsidRDefault="00984F72" w:rsidP="000E0BF4">
      <w:pPr>
        <w:spacing w:before="120" w:after="120" w:line="360" w:lineRule="exact"/>
        <w:ind w:firstLine="708"/>
        <w:jc w:val="both"/>
        <w:rPr>
          <w:rFonts w:ascii="Arial" w:hAnsi="Arial" w:cs="Arial"/>
          <w:sz w:val="22"/>
          <w:szCs w:val="22"/>
        </w:rPr>
      </w:pPr>
      <w:r w:rsidRPr="00984F72">
        <w:rPr>
          <w:rFonts w:ascii="Arial" w:hAnsi="Arial" w:cs="Arial"/>
          <w:sz w:val="22"/>
          <w:szCs w:val="22"/>
        </w:rPr>
        <w:t>C23. Inversión 7: Fomento del crecimiento inclusivo mediante la vinculación de las políticas de inclusión social al Ingreso Mínimo Vital</w:t>
      </w:r>
      <w:r w:rsidR="00ED3A1E">
        <w:rPr>
          <w:rFonts w:ascii="Arial" w:hAnsi="Arial" w:cs="Arial"/>
          <w:sz w:val="22"/>
          <w:szCs w:val="22"/>
        </w:rPr>
        <w:t>.</w:t>
      </w:r>
    </w:p>
    <w:p w:rsidR="00517824" w:rsidRPr="00517824" w:rsidRDefault="00984F72" w:rsidP="000E0BF4">
      <w:pPr>
        <w:spacing w:before="120" w:after="120" w:line="360" w:lineRule="exact"/>
        <w:ind w:firstLine="708"/>
        <w:jc w:val="both"/>
        <w:rPr>
          <w:rFonts w:ascii="Arial" w:hAnsi="Arial" w:cs="Arial"/>
          <w:sz w:val="22"/>
          <w:szCs w:val="22"/>
        </w:rPr>
      </w:pPr>
      <w:r w:rsidRPr="00984F72">
        <w:rPr>
          <w:rFonts w:ascii="Arial" w:hAnsi="Arial" w:cs="Arial"/>
          <w:sz w:val="22"/>
          <w:szCs w:val="22"/>
        </w:rPr>
        <w:t xml:space="preserve">Implantación de un nuevo modelo de inclusión a partir del Ingreso Mínimo Vital (IMV), que reduzca la desigualdad de la renta y las tasas de pobreza extrema y moderada. Creación </w:t>
      </w:r>
      <w:r w:rsidRPr="00984F72">
        <w:rPr>
          <w:rFonts w:ascii="Arial" w:hAnsi="Arial" w:cs="Arial"/>
          <w:sz w:val="22"/>
          <w:szCs w:val="22"/>
        </w:rPr>
        <w:lastRenderedPageBreak/>
        <w:t>de la infraestructura de análisis de información asociada. Esta inversión es complementaria y se refuerza con la Reforma 5 del Componente 22, vinculada al desarrollo reglamentario del IMV.</w:t>
      </w:r>
    </w:p>
    <w:p w:rsidR="00517824" w:rsidRPr="00517824" w:rsidRDefault="00517824" w:rsidP="008B3CA0">
      <w:pPr>
        <w:spacing w:before="100"/>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5. </w:t>
      </w:r>
      <w:r w:rsidR="00975EB5" w:rsidRPr="00517824">
        <w:rPr>
          <w:rFonts w:ascii="Arial" w:hAnsi="Arial" w:cs="Arial"/>
          <w:b/>
          <w:sz w:val="22"/>
          <w:szCs w:val="22"/>
        </w:rPr>
        <w:t>COSTE DE LA INVERSIÓN Y DISTRIBUCIÓN ANUALIZADA</w:t>
      </w:r>
    </w:p>
    <w:p w:rsidR="00517824" w:rsidRPr="00517824" w:rsidRDefault="00517824" w:rsidP="00517824">
      <w:pPr>
        <w:spacing w:before="100"/>
        <w:ind w:left="426"/>
        <w:rPr>
          <w:rFonts w:ascii="Arial" w:hAnsi="Arial" w:cs="Arial"/>
          <w:b/>
          <w:sz w:val="22"/>
          <w:szCs w:val="22"/>
        </w:rPr>
      </w:pPr>
    </w:p>
    <w:tbl>
      <w:tblPr>
        <w:tblStyle w:val="Tablaconcuadrcula"/>
        <w:tblW w:w="0" w:type="auto"/>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379"/>
        <w:gridCol w:w="1037"/>
        <w:gridCol w:w="988"/>
        <w:gridCol w:w="987"/>
        <w:gridCol w:w="987"/>
        <w:gridCol w:w="987"/>
        <w:gridCol w:w="988"/>
        <w:gridCol w:w="953"/>
        <w:gridCol w:w="1021"/>
      </w:tblGrid>
      <w:tr w:rsidR="00517824" w:rsidRPr="00517824" w:rsidTr="00A06941">
        <w:trPr>
          <w:trHeight w:val="337"/>
          <w:tblHeader/>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Periodificación</w:t>
            </w:r>
          </w:p>
        </w:tc>
        <w:tc>
          <w:tcPr>
            <w:tcW w:w="103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2020</w:t>
            </w:r>
          </w:p>
        </w:tc>
        <w:tc>
          <w:tcPr>
            <w:tcW w:w="988"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2021</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2022</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2023</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2024</w:t>
            </w:r>
          </w:p>
        </w:tc>
        <w:tc>
          <w:tcPr>
            <w:tcW w:w="988"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2025</w:t>
            </w:r>
          </w:p>
        </w:tc>
        <w:tc>
          <w:tcPr>
            <w:tcW w:w="953"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2026</w:t>
            </w:r>
          </w:p>
        </w:tc>
        <w:tc>
          <w:tcPr>
            <w:tcW w:w="1021"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Total</w:t>
            </w:r>
          </w:p>
        </w:tc>
      </w:tr>
      <w:tr w:rsidR="00517824" w:rsidRPr="00517824" w:rsidTr="00517824">
        <w:trPr>
          <w:trHeight w:hRule="exact" w:val="340"/>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Coste del Mecanismo</w:t>
            </w:r>
          </w:p>
        </w:tc>
        <w:tc>
          <w:tcPr>
            <w:tcW w:w="1037" w:type="dxa"/>
            <w:vAlign w:val="center"/>
          </w:tcPr>
          <w:p w:rsidR="00517824" w:rsidRPr="00CA5DBC" w:rsidRDefault="00517824" w:rsidP="00517824">
            <w:pPr>
              <w:ind w:left="-83"/>
              <w:jc w:val="right"/>
              <w:rPr>
                <w:rFonts w:ascii="Arial" w:hAnsi="Arial" w:cs="Arial"/>
                <w:sz w:val="12"/>
                <w:szCs w:val="12"/>
              </w:rPr>
            </w:pPr>
            <w:r w:rsidRPr="00CA5DBC">
              <w:rPr>
                <w:rFonts w:ascii="Arial" w:hAnsi="Arial" w:cs="Arial"/>
                <w:sz w:val="12"/>
                <w:szCs w:val="12"/>
              </w:rPr>
              <w:fldChar w:fldCharType="begin">
                <w:ffData>
                  <w:name w:val=""/>
                  <w:enabled/>
                  <w:calcOnExit w:val="0"/>
                  <w:textInput>
                    <w:type w:val="number"/>
                  </w:textInput>
                </w:ffData>
              </w:fldChar>
            </w:r>
            <w:r w:rsidRPr="00CA5DBC">
              <w:rPr>
                <w:rFonts w:ascii="Arial" w:hAnsi="Arial" w:cs="Arial"/>
                <w:sz w:val="12"/>
                <w:szCs w:val="12"/>
              </w:rPr>
              <w:instrText xml:space="preserve"> FORMTEXT </w:instrText>
            </w:r>
            <w:r w:rsidRPr="00CA5DBC">
              <w:rPr>
                <w:rFonts w:ascii="Arial" w:hAnsi="Arial" w:cs="Arial"/>
                <w:sz w:val="12"/>
                <w:szCs w:val="12"/>
              </w:rPr>
            </w:r>
            <w:r w:rsidRPr="00CA5DBC">
              <w:rPr>
                <w:rFonts w:ascii="Arial" w:hAnsi="Arial" w:cs="Arial"/>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sz w:val="12"/>
                <w:szCs w:val="12"/>
              </w:rPr>
              <w:fldChar w:fldCharType="end"/>
            </w:r>
          </w:p>
        </w:tc>
        <w:tc>
          <w:tcPr>
            <w:tcW w:w="988" w:type="dxa"/>
            <w:vAlign w:val="center"/>
          </w:tcPr>
          <w:p w:rsidR="00517824" w:rsidRPr="00CA5DBC" w:rsidRDefault="00984F72" w:rsidP="00517824">
            <w:pPr>
              <w:ind w:left="-83"/>
              <w:jc w:val="right"/>
              <w:rPr>
                <w:rFonts w:ascii="Arial" w:hAnsi="Arial" w:cs="Arial"/>
                <w:noProof/>
                <w:sz w:val="12"/>
                <w:szCs w:val="12"/>
              </w:rPr>
            </w:pPr>
            <w:r>
              <w:rPr>
                <w:rFonts w:ascii="Arial" w:hAnsi="Arial" w:cs="Arial"/>
                <w:noProof/>
                <w:sz w:val="12"/>
                <w:szCs w:val="12"/>
              </w:rPr>
              <w:t>100.000,00</w:t>
            </w:r>
          </w:p>
        </w:tc>
        <w:tc>
          <w:tcPr>
            <w:tcW w:w="987" w:type="dxa"/>
            <w:vAlign w:val="center"/>
          </w:tcPr>
          <w:p w:rsidR="00517824" w:rsidRPr="00CA5DBC" w:rsidRDefault="00984F72" w:rsidP="00517824">
            <w:pPr>
              <w:ind w:left="-83"/>
              <w:jc w:val="right"/>
              <w:rPr>
                <w:rFonts w:ascii="Arial" w:hAnsi="Arial" w:cs="Arial"/>
                <w:noProof/>
                <w:sz w:val="12"/>
                <w:szCs w:val="12"/>
              </w:rPr>
            </w:pPr>
            <w:r w:rsidRPr="00984F72">
              <w:rPr>
                <w:rFonts w:ascii="Arial" w:hAnsi="Arial" w:cs="Arial"/>
                <w:noProof/>
                <w:sz w:val="12"/>
                <w:szCs w:val="12"/>
              </w:rPr>
              <w:t>97.164,64</w:t>
            </w:r>
          </w:p>
        </w:tc>
        <w:tc>
          <w:tcPr>
            <w:tcW w:w="987" w:type="dxa"/>
            <w:vAlign w:val="center"/>
          </w:tcPr>
          <w:p w:rsidR="00517824" w:rsidRPr="00CA5DBC" w:rsidRDefault="00984F72" w:rsidP="00517824">
            <w:pPr>
              <w:ind w:left="-83"/>
              <w:jc w:val="right"/>
              <w:rPr>
                <w:rFonts w:ascii="Arial" w:hAnsi="Arial" w:cs="Arial"/>
                <w:noProof/>
                <w:sz w:val="12"/>
                <w:szCs w:val="12"/>
              </w:rPr>
            </w:pPr>
            <w:r>
              <w:rPr>
                <w:rFonts w:ascii="Arial" w:hAnsi="Arial" w:cs="Arial"/>
                <w:noProof/>
                <w:sz w:val="12"/>
                <w:szCs w:val="12"/>
              </w:rPr>
              <w:t>100.000,00</w:t>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53"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1021" w:type="dxa"/>
            <w:vAlign w:val="center"/>
          </w:tcPr>
          <w:p w:rsidR="00517824" w:rsidRPr="00CA5DBC" w:rsidRDefault="00984F72" w:rsidP="00517824">
            <w:pPr>
              <w:ind w:left="-83"/>
              <w:jc w:val="right"/>
              <w:rPr>
                <w:rFonts w:ascii="Arial" w:hAnsi="Arial" w:cs="Arial"/>
                <w:noProof/>
                <w:sz w:val="12"/>
                <w:szCs w:val="12"/>
              </w:rPr>
            </w:pPr>
            <w:r>
              <w:rPr>
                <w:rFonts w:ascii="Arial" w:hAnsi="Arial" w:cs="Arial"/>
                <w:noProof/>
                <w:sz w:val="12"/>
                <w:szCs w:val="12"/>
              </w:rPr>
              <w:t>2</w:t>
            </w:r>
            <w:r w:rsidRPr="00984F72">
              <w:rPr>
                <w:rFonts w:ascii="Arial" w:hAnsi="Arial" w:cs="Arial"/>
                <w:noProof/>
                <w:sz w:val="12"/>
                <w:szCs w:val="12"/>
              </w:rPr>
              <w:t>97.164,64</w:t>
            </w:r>
          </w:p>
        </w:tc>
      </w:tr>
      <w:tr w:rsidR="00517824" w:rsidRPr="00517824" w:rsidTr="00517824">
        <w:trPr>
          <w:trHeight w:hRule="exact" w:val="340"/>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Otra financiación</w:t>
            </w:r>
          </w:p>
        </w:tc>
        <w:tc>
          <w:tcPr>
            <w:tcW w:w="103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53"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1021"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r>
      <w:tr w:rsidR="00517824" w:rsidRPr="00517824" w:rsidTr="00517824">
        <w:trPr>
          <w:trHeight w:hRule="exact" w:val="340"/>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Total</w:t>
            </w:r>
          </w:p>
        </w:tc>
        <w:tc>
          <w:tcPr>
            <w:tcW w:w="103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984F72" w:rsidP="00517824">
            <w:pPr>
              <w:ind w:left="-83"/>
              <w:jc w:val="right"/>
              <w:rPr>
                <w:rFonts w:ascii="Arial" w:hAnsi="Arial" w:cs="Arial"/>
                <w:noProof/>
                <w:sz w:val="12"/>
                <w:szCs w:val="12"/>
              </w:rPr>
            </w:pPr>
            <w:r>
              <w:rPr>
                <w:rFonts w:ascii="Arial" w:hAnsi="Arial" w:cs="Arial"/>
                <w:noProof/>
                <w:sz w:val="12"/>
                <w:szCs w:val="12"/>
              </w:rPr>
              <w:t>100.000,00</w:t>
            </w:r>
          </w:p>
        </w:tc>
        <w:tc>
          <w:tcPr>
            <w:tcW w:w="987" w:type="dxa"/>
            <w:vAlign w:val="center"/>
          </w:tcPr>
          <w:p w:rsidR="00517824" w:rsidRPr="00CA5DBC" w:rsidRDefault="00984F72" w:rsidP="00517824">
            <w:pPr>
              <w:ind w:left="-83"/>
              <w:jc w:val="right"/>
              <w:rPr>
                <w:rFonts w:ascii="Arial" w:hAnsi="Arial" w:cs="Arial"/>
                <w:noProof/>
                <w:sz w:val="12"/>
                <w:szCs w:val="12"/>
              </w:rPr>
            </w:pPr>
            <w:r w:rsidRPr="00984F72">
              <w:rPr>
                <w:rFonts w:ascii="Arial" w:hAnsi="Arial" w:cs="Arial"/>
                <w:noProof/>
                <w:sz w:val="12"/>
                <w:szCs w:val="12"/>
              </w:rPr>
              <w:t>97.164,64</w:t>
            </w:r>
          </w:p>
        </w:tc>
        <w:tc>
          <w:tcPr>
            <w:tcW w:w="987" w:type="dxa"/>
            <w:vAlign w:val="center"/>
          </w:tcPr>
          <w:p w:rsidR="00517824" w:rsidRPr="00CA5DBC" w:rsidRDefault="00984F72" w:rsidP="00517824">
            <w:pPr>
              <w:ind w:left="-83"/>
              <w:jc w:val="right"/>
              <w:rPr>
                <w:rFonts w:ascii="Arial" w:hAnsi="Arial" w:cs="Arial"/>
                <w:noProof/>
                <w:sz w:val="12"/>
                <w:szCs w:val="12"/>
              </w:rPr>
            </w:pPr>
            <w:r>
              <w:rPr>
                <w:rFonts w:ascii="Arial" w:hAnsi="Arial" w:cs="Arial"/>
                <w:noProof/>
                <w:sz w:val="12"/>
                <w:szCs w:val="12"/>
              </w:rPr>
              <w:t>100.000,00</w:t>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53"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1021" w:type="dxa"/>
            <w:vAlign w:val="center"/>
          </w:tcPr>
          <w:p w:rsidR="00517824" w:rsidRPr="00CA5DBC" w:rsidRDefault="00984F72" w:rsidP="00517824">
            <w:pPr>
              <w:ind w:left="-83"/>
              <w:jc w:val="right"/>
              <w:rPr>
                <w:rFonts w:ascii="Arial" w:hAnsi="Arial" w:cs="Arial"/>
                <w:noProof/>
                <w:sz w:val="12"/>
                <w:szCs w:val="12"/>
              </w:rPr>
            </w:pPr>
            <w:r>
              <w:rPr>
                <w:rFonts w:ascii="Arial" w:hAnsi="Arial" w:cs="Arial"/>
                <w:noProof/>
                <w:sz w:val="12"/>
                <w:szCs w:val="12"/>
              </w:rPr>
              <w:t>2</w:t>
            </w:r>
            <w:r w:rsidRPr="00984F72">
              <w:rPr>
                <w:rFonts w:ascii="Arial" w:hAnsi="Arial" w:cs="Arial"/>
                <w:noProof/>
                <w:sz w:val="12"/>
                <w:szCs w:val="12"/>
              </w:rPr>
              <w:t>97.164,64</w:t>
            </w:r>
          </w:p>
        </w:tc>
      </w:tr>
    </w:tbl>
    <w:p w:rsidR="00517824" w:rsidRDefault="00517824" w:rsidP="008B3CA0">
      <w:pPr>
        <w:spacing w:before="100"/>
        <w:rPr>
          <w:rFonts w:ascii="Arial" w:hAnsi="Arial" w:cs="Arial"/>
          <w:sz w:val="22"/>
          <w:szCs w:val="22"/>
        </w:rPr>
      </w:pPr>
    </w:p>
    <w:p w:rsidR="00975EB5" w:rsidRPr="00517824" w:rsidRDefault="00975EB5" w:rsidP="008B3CA0">
      <w:pPr>
        <w:spacing w:before="100"/>
        <w:rPr>
          <w:rFonts w:ascii="Arial" w:hAnsi="Arial" w:cs="Arial"/>
          <w:sz w:val="22"/>
          <w:szCs w:val="22"/>
        </w:rPr>
      </w:pPr>
    </w:p>
    <w:p w:rsidR="00517824" w:rsidRDefault="00517824" w:rsidP="008B3CA0">
      <w:pPr>
        <w:spacing w:before="100"/>
        <w:rPr>
          <w:rFonts w:ascii="Arial" w:hAnsi="Arial" w:cs="Arial"/>
          <w:b/>
          <w:sz w:val="22"/>
          <w:szCs w:val="22"/>
        </w:rPr>
      </w:pPr>
      <w:r w:rsidRPr="00517824">
        <w:rPr>
          <w:rFonts w:ascii="Arial" w:hAnsi="Arial" w:cs="Arial"/>
          <w:b/>
          <w:sz w:val="22"/>
          <w:szCs w:val="22"/>
        </w:rPr>
        <w:t xml:space="preserve">6. </w:t>
      </w:r>
      <w:r w:rsidR="00975EB5" w:rsidRPr="00517824">
        <w:rPr>
          <w:rFonts w:ascii="Arial" w:hAnsi="Arial" w:cs="Arial"/>
          <w:b/>
          <w:sz w:val="22"/>
          <w:szCs w:val="22"/>
        </w:rPr>
        <w:t xml:space="preserve">HITOS Y OBJETIVOS DE LA INVERSIÓN </w:t>
      </w:r>
    </w:p>
    <w:p w:rsidR="00984F72" w:rsidRDefault="00984F72" w:rsidP="008B3CA0">
      <w:pPr>
        <w:spacing w:before="100"/>
        <w:rPr>
          <w:rFonts w:ascii="Arial" w:hAnsi="Arial" w:cs="Arial"/>
          <w:b/>
          <w:sz w:val="22"/>
          <w:szCs w:val="22"/>
        </w:rPr>
      </w:pPr>
    </w:p>
    <w:p w:rsidR="0065386F" w:rsidRPr="0065386F" w:rsidRDefault="0065386F" w:rsidP="0065386F">
      <w:pPr>
        <w:pStyle w:val="Prrafodelista"/>
        <w:numPr>
          <w:ilvl w:val="0"/>
          <w:numId w:val="4"/>
        </w:numPr>
        <w:spacing w:before="120" w:after="120" w:line="360" w:lineRule="auto"/>
        <w:ind w:left="714" w:hanging="357"/>
        <w:jc w:val="both"/>
        <w:rPr>
          <w:rFonts w:ascii="Arial" w:hAnsi="Arial"/>
          <w:sz w:val="22"/>
          <w:szCs w:val="22"/>
        </w:rPr>
      </w:pPr>
      <w:r w:rsidRPr="00984F72">
        <w:rPr>
          <w:rFonts w:ascii="Arial" w:hAnsi="Arial"/>
          <w:sz w:val="22"/>
          <w:szCs w:val="22"/>
        </w:rPr>
        <w:t xml:space="preserve">Apoyar la inclusión socioeconómica de los beneficiarios del IMV a través de itinerarios: 8 convenios de colaboración con administraciones públicas subnacionales, entidades del tercer sector de acción social y agentes sociales, para la realización de los itinerarios Estos convenios de colaboración tienen como objetivos: i) mejorar el </w:t>
      </w:r>
      <w:proofErr w:type="spellStart"/>
      <w:r w:rsidRPr="00984F72">
        <w:rPr>
          <w:rFonts w:ascii="Arial" w:hAnsi="Arial"/>
          <w:sz w:val="22"/>
          <w:szCs w:val="22"/>
        </w:rPr>
        <w:t>take</w:t>
      </w:r>
      <w:proofErr w:type="spellEnd"/>
      <w:r w:rsidRPr="00984F72">
        <w:rPr>
          <w:rFonts w:ascii="Arial" w:hAnsi="Arial"/>
          <w:sz w:val="22"/>
          <w:szCs w:val="22"/>
        </w:rPr>
        <w:t>-up IMV; ii) incrementar la efectividad del IMV a través de políticas de inclusión</w:t>
      </w:r>
      <w:r>
        <w:rPr>
          <w:rFonts w:ascii="Arial" w:hAnsi="Arial"/>
          <w:sz w:val="22"/>
          <w:szCs w:val="22"/>
        </w:rPr>
        <w:t xml:space="preserve"> (2022 – Q1)</w:t>
      </w:r>
      <w:r w:rsidR="00ED3A1E">
        <w:rPr>
          <w:rFonts w:ascii="Arial" w:hAnsi="Arial"/>
          <w:sz w:val="22"/>
          <w:szCs w:val="22"/>
        </w:rPr>
        <w:t>.</w:t>
      </w:r>
    </w:p>
    <w:p w:rsidR="008B3CA0" w:rsidRPr="00517824" w:rsidRDefault="0065386F" w:rsidP="003D17F3">
      <w:pPr>
        <w:pStyle w:val="Prrafodelista"/>
        <w:numPr>
          <w:ilvl w:val="0"/>
          <w:numId w:val="4"/>
        </w:numPr>
        <w:spacing w:before="120" w:after="120" w:line="360" w:lineRule="auto"/>
        <w:ind w:left="714" w:hanging="357"/>
        <w:jc w:val="both"/>
      </w:pPr>
      <w:r w:rsidRPr="0065386F">
        <w:rPr>
          <w:rFonts w:ascii="Arial" w:hAnsi="Arial"/>
          <w:sz w:val="22"/>
          <w:szCs w:val="22"/>
        </w:rPr>
        <w:t xml:space="preserve">Tras la finalización de al menos 18 proyectos piloto, publicación de una evaluación para analizar la cobertura, efectividad y éxito de los esquemas de Renta Mínima, incluyendo recomendaciones específicas para aumentar el </w:t>
      </w:r>
      <w:proofErr w:type="spellStart"/>
      <w:r w:rsidRPr="0065386F">
        <w:rPr>
          <w:rFonts w:ascii="Arial" w:hAnsi="Arial"/>
          <w:sz w:val="22"/>
          <w:szCs w:val="22"/>
        </w:rPr>
        <w:t>take</w:t>
      </w:r>
      <w:proofErr w:type="spellEnd"/>
      <w:r w:rsidRPr="0065386F">
        <w:rPr>
          <w:rFonts w:ascii="Arial" w:hAnsi="Arial"/>
          <w:sz w:val="22"/>
          <w:szCs w:val="22"/>
        </w:rPr>
        <w:t>-up y mejorar la efectividad de las políticas de inclusión social (2024 – Q1)</w:t>
      </w:r>
      <w:r w:rsidR="00ED3A1E">
        <w:rPr>
          <w:rFonts w:ascii="Arial" w:hAnsi="Arial"/>
          <w:sz w:val="22"/>
          <w:szCs w:val="22"/>
        </w:rPr>
        <w:t>.</w:t>
      </w:r>
    </w:p>
    <w:sectPr w:rsidR="008B3CA0" w:rsidRPr="00517824"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61596CF8"/>
    <w:multiLevelType w:val="hybridMultilevel"/>
    <w:tmpl w:val="6876E02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E0BF4"/>
    <w:rsid w:val="000F3FBB"/>
    <w:rsid w:val="001A5F87"/>
    <w:rsid w:val="001B34B9"/>
    <w:rsid w:val="002F0C59"/>
    <w:rsid w:val="003154A2"/>
    <w:rsid w:val="003208C4"/>
    <w:rsid w:val="00343745"/>
    <w:rsid w:val="00382F6E"/>
    <w:rsid w:val="003A7E9B"/>
    <w:rsid w:val="003D56D8"/>
    <w:rsid w:val="0046397C"/>
    <w:rsid w:val="00517824"/>
    <w:rsid w:val="00564761"/>
    <w:rsid w:val="005B477A"/>
    <w:rsid w:val="005C4BF4"/>
    <w:rsid w:val="00647AC1"/>
    <w:rsid w:val="0065386F"/>
    <w:rsid w:val="006F018F"/>
    <w:rsid w:val="007B6373"/>
    <w:rsid w:val="007E37FC"/>
    <w:rsid w:val="007F3B1F"/>
    <w:rsid w:val="008076C5"/>
    <w:rsid w:val="008476C0"/>
    <w:rsid w:val="008620A4"/>
    <w:rsid w:val="008B3CA0"/>
    <w:rsid w:val="008B6C42"/>
    <w:rsid w:val="008D6462"/>
    <w:rsid w:val="008F0C79"/>
    <w:rsid w:val="0093453B"/>
    <w:rsid w:val="00952F88"/>
    <w:rsid w:val="00975EB5"/>
    <w:rsid w:val="00984F72"/>
    <w:rsid w:val="00991697"/>
    <w:rsid w:val="009A64D7"/>
    <w:rsid w:val="009A7074"/>
    <w:rsid w:val="00A06941"/>
    <w:rsid w:val="00A32DF7"/>
    <w:rsid w:val="00A44DEA"/>
    <w:rsid w:val="00A9503D"/>
    <w:rsid w:val="00AE318F"/>
    <w:rsid w:val="00B30BB6"/>
    <w:rsid w:val="00B6769D"/>
    <w:rsid w:val="00B80D92"/>
    <w:rsid w:val="00B94ED1"/>
    <w:rsid w:val="00BB64BC"/>
    <w:rsid w:val="00BD2EE2"/>
    <w:rsid w:val="00BE5B5A"/>
    <w:rsid w:val="00C87CB2"/>
    <w:rsid w:val="00CA5DBC"/>
    <w:rsid w:val="00CB75ED"/>
    <w:rsid w:val="00D46D8D"/>
    <w:rsid w:val="00E663FA"/>
    <w:rsid w:val="00ED092E"/>
    <w:rsid w:val="00ED3A1E"/>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D4835-BBFC-4D0D-B9B1-A01F0FD4C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511</Words>
  <Characters>3159</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Limón Vázquez, Rocío</cp:lastModifiedBy>
  <cp:revision>9</cp:revision>
  <cp:lastPrinted>2021-06-09T11:44:00Z</cp:lastPrinted>
  <dcterms:created xsi:type="dcterms:W3CDTF">2021-09-03T18:11:00Z</dcterms:created>
  <dcterms:modified xsi:type="dcterms:W3CDTF">2022-06-13T11:09:00Z</dcterms:modified>
</cp:coreProperties>
</file>